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C7" w:rsidRDefault="00B453FD">
      <w:pPr>
        <w:pStyle w:val="Nagwek4"/>
        <w:rPr>
          <w:color w:val="008000"/>
        </w:rPr>
      </w:pPr>
      <w:r>
        <w:rPr>
          <w:color w:val="008000"/>
        </w:rPr>
        <w:t>WYMAGANE DOKUMENTY DO ZAŁATWIENIA SPRAWY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Podanie osoby fizycznej /prawnej lub inicjatywa Zarządu Powiatu/Starosty wykonującego zadania z zakresu</w:t>
      </w:r>
    </w:p>
    <w:p w:rsidR="00DC74C7" w:rsidRDefault="00B453FD">
      <w:pPr>
        <w:pStyle w:val="Standard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 xml:space="preserve">administracji rządowej- </w:t>
      </w:r>
      <w:r>
        <w:rPr>
          <w:rFonts w:ascii="Arial" w:hAnsi="Arial" w:cs="Arial"/>
          <w:color w:val="000000"/>
          <w:sz w:val="18"/>
          <w:szCs w:val="18"/>
        </w:rPr>
        <w:t>zawierający informację dot. nieruchomości przewidzianej do zbycia/nabycia.</w:t>
      </w:r>
    </w:p>
    <w:p w:rsidR="00DC74C7" w:rsidRDefault="00B453FD">
      <w:pPr>
        <w:pStyle w:val="Standard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>We wniosku należy podać adres osoby zainteresowanej oraz tel. numer kontaktowy</w:t>
      </w:r>
    </w:p>
    <w:p w:rsidR="00DC74C7" w:rsidRDefault="00DC74C7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W  przypadku zbycia nieruchomości w drodze bezprzetargowej, do wniosku należy dołączyć, aktua</w:t>
      </w:r>
      <w:r>
        <w:rPr>
          <w:rFonts w:ascii="Arial" w:hAnsi="Arial" w:cs="Arial"/>
          <w:color w:val="000000"/>
          <w:sz w:val="18"/>
          <w:szCs w:val="18"/>
        </w:rPr>
        <w:t>lny</w:t>
      </w:r>
    </w:p>
    <w:p w:rsidR="00DC74C7" w:rsidRDefault="00B453FD">
      <w:pPr>
        <w:pStyle w:val="Standard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>odpis księgi wieczystej .</w:t>
      </w:r>
    </w:p>
    <w:p w:rsidR="00DC74C7" w:rsidRDefault="00B453FD">
      <w:pPr>
        <w:pStyle w:val="Standard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</w:t>
      </w:r>
    </w:p>
    <w:p w:rsidR="00DC74C7" w:rsidRDefault="00B453FD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OPŁATY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Nie podlega opłacie  na podstawie art.2 ust.1 pkt.1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lit.h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ustawy o opła</w:t>
      </w:r>
      <w:r w:rsidR="00FD460D">
        <w:rPr>
          <w:rFonts w:ascii="Arial" w:hAnsi="Arial" w:cs="Arial"/>
          <w:color w:val="000000"/>
          <w:sz w:val="18"/>
          <w:szCs w:val="18"/>
        </w:rPr>
        <w:t>cie skarbowej (j.t. Dz.U. z 2016r., poz. 1827 ze zm.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MIEJSCE ZŁOŻENIA  DOKUMENTÓW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Kancelaria </w:t>
      </w:r>
      <w:r>
        <w:rPr>
          <w:rFonts w:ascii="Arial" w:hAnsi="Arial" w:cs="Arial"/>
          <w:color w:val="000000"/>
          <w:sz w:val="18"/>
          <w:szCs w:val="18"/>
        </w:rPr>
        <w:t>Ogólna Starostwa Powiatowego w Wałbrzychu a</w:t>
      </w:r>
      <w:r w:rsidR="00FD460D">
        <w:rPr>
          <w:rFonts w:ascii="Arial" w:hAnsi="Arial" w:cs="Arial"/>
          <w:color w:val="000000"/>
          <w:sz w:val="18"/>
          <w:szCs w:val="18"/>
        </w:rPr>
        <w:t>l. Wyzwolenia 24, parter pok. 21</w:t>
      </w:r>
      <w:r>
        <w:rPr>
          <w:rFonts w:ascii="Arial" w:hAnsi="Arial" w:cs="Arial"/>
          <w:color w:val="000000"/>
          <w:sz w:val="18"/>
          <w:szCs w:val="18"/>
        </w:rPr>
        <w:t>, tel. 74-84-60-506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OSOBY DO KONTAKTU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DC74C7" w:rsidRDefault="00DC74C7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:rsidR="00DC74C7" w:rsidRDefault="00B453FD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Pani Iwona Samko</w:t>
      </w:r>
    </w:p>
    <w:p w:rsidR="00DC74C7" w:rsidRDefault="00B453FD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 Bartosz Wojciechowski</w:t>
      </w:r>
    </w:p>
    <w:p w:rsidR="00DC74C7" w:rsidRDefault="00B453FD">
      <w:pPr>
        <w:pStyle w:val="Standard"/>
        <w:autoSpaceDE w:val="0"/>
      </w:pPr>
      <w:r>
        <w:rPr>
          <w:rFonts w:ascii="Arial" w:hAnsi="Arial" w:cs="Arial"/>
          <w:color w:val="000000"/>
        </w:rPr>
        <w:t xml:space="preserve">Wydział  </w:t>
      </w:r>
      <w:r>
        <w:rPr>
          <w:rFonts w:ascii="Helvetica, Arial" w:hAnsi="Helvetica, Arial" w:cs="Helvetica, Arial"/>
          <w:color w:val="000000"/>
          <w:sz w:val="19"/>
          <w:szCs w:val="19"/>
        </w:rPr>
        <w:t>Administracji Architektoniczno- Budowlanej</w:t>
      </w:r>
    </w:p>
    <w:p w:rsidR="00DC74C7" w:rsidRDefault="00B453FD">
      <w:pPr>
        <w:pStyle w:val="Standard"/>
        <w:autoSpaceDE w:val="0"/>
      </w:pPr>
      <w:r>
        <w:rPr>
          <w:rFonts w:ascii="Helvetica, Arial" w:hAnsi="Helvetica, Arial" w:cs="Helvetica, Arial"/>
          <w:color w:val="000000"/>
          <w:sz w:val="19"/>
          <w:szCs w:val="19"/>
        </w:rPr>
        <w:t>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>ciami</w:t>
      </w:r>
    </w:p>
    <w:p w:rsidR="00DC74C7" w:rsidRDefault="00B453FD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 piętro </w:t>
      </w:r>
      <w:r>
        <w:rPr>
          <w:rFonts w:ascii="Arial" w:hAnsi="Arial" w:cs="Arial"/>
          <w:sz w:val="18"/>
          <w:szCs w:val="18"/>
        </w:rPr>
        <w:t>pok.nr 230, tel. 74-84-60-545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TERMIN  I  SPOSÓB  ZAŁATWIENIA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 przypadku zbycia w drodze bezprzetargowej- ok. 6 miesięcy</w:t>
      </w:r>
    </w:p>
    <w:p w:rsidR="00DC74C7" w:rsidRDefault="00B453FD">
      <w:pPr>
        <w:pStyle w:val="Standard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Strona na bieżąco jest informowana o czynnościach wykonywanych w celu realizacji wniosku.</w:t>
      </w:r>
    </w:p>
    <w:p w:rsidR="00DC74C7" w:rsidRDefault="00DC74C7">
      <w:pPr>
        <w:pStyle w:val="Standard"/>
        <w:ind w:left="720"/>
        <w:jc w:val="both"/>
        <w:rPr>
          <w:rFonts w:ascii="Arial" w:hAnsi="Arial" w:cs="Arial"/>
          <w:color w:val="000000"/>
          <w:sz w:val="18"/>
          <w:szCs w:val="18"/>
        </w:rPr>
      </w:pPr>
    </w:p>
    <w:p w:rsidR="00DC74C7" w:rsidRDefault="00B453FD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 przypadku zbycia w drodze przetargu –</w:t>
      </w:r>
      <w:r>
        <w:rPr>
          <w:rFonts w:ascii="Arial" w:hAnsi="Arial" w:cs="Arial"/>
          <w:color w:val="000000"/>
          <w:sz w:val="18"/>
          <w:szCs w:val="18"/>
        </w:rPr>
        <w:t xml:space="preserve"> ok.6  miesięcy.</w:t>
      </w:r>
    </w:p>
    <w:p w:rsidR="00DC74C7" w:rsidRDefault="00B453FD">
      <w:pPr>
        <w:pStyle w:val="Standard"/>
        <w:ind w:left="720"/>
        <w:jc w:val="both"/>
      </w:pPr>
      <w:r>
        <w:rPr>
          <w:rFonts w:ascii="Arial" w:hAnsi="Arial" w:cs="Arial"/>
          <w:color w:val="000000"/>
          <w:sz w:val="18"/>
          <w:szCs w:val="18"/>
        </w:rPr>
        <w:t>Informacja o toczącym się postępowaniu dostępna jest na bieżąco w siedzibie Wydziału Administracji Architektoniczno- Budowlanej i Gospodarki Nieruchomościami .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TRYB ODWOŁAWCZY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Stronie służy skarga na czynności związane z przeprowadzenie</w:t>
      </w:r>
      <w:r>
        <w:rPr>
          <w:rFonts w:ascii="Arial" w:hAnsi="Arial" w:cs="Arial"/>
          <w:color w:val="000000"/>
          <w:sz w:val="18"/>
          <w:szCs w:val="18"/>
        </w:rPr>
        <w:t>m przetargu złożona za pośrednictwem właściwego organu do Wojewody albo organu wykonawczego jednostki samorządu terytorialnego  w terminie 7 dni od dnia ogłoszenia wyniku przetargu ustnego lub doręczenia zawiadomienia o wyniku przetargu.</w:t>
      </w:r>
    </w:p>
    <w:p w:rsidR="00DC74C7" w:rsidRDefault="00DC74C7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DC74C7" w:rsidRDefault="00DC74C7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PODSTAWA PRAWNA</w:t>
      </w:r>
    </w:p>
    <w:p w:rsidR="00DC74C7" w:rsidRDefault="00DC74C7">
      <w:pPr>
        <w:pStyle w:val="Standard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DC74C7" w:rsidRDefault="00B453FD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Dział II Rozdz. 3, 4 i 8  ustawy o gospodarce nier</w:t>
      </w:r>
      <w:r w:rsidR="00FD460D">
        <w:rPr>
          <w:rFonts w:ascii="Arial" w:hAnsi="Arial" w:cs="Arial"/>
          <w:color w:val="000000"/>
          <w:sz w:val="18"/>
          <w:szCs w:val="18"/>
        </w:rPr>
        <w:t>uchomościami ( j.t. Dz.U. z 2018</w:t>
      </w:r>
      <w:r>
        <w:rPr>
          <w:rFonts w:ascii="Arial" w:hAnsi="Arial" w:cs="Arial"/>
          <w:color w:val="000000"/>
          <w:sz w:val="18"/>
          <w:szCs w:val="18"/>
        </w:rPr>
        <w:t xml:space="preserve">r., poz. </w:t>
      </w:r>
      <w:r w:rsidR="00FD460D">
        <w:rPr>
          <w:rFonts w:ascii="Arial" w:hAnsi="Arial" w:cs="Arial"/>
          <w:color w:val="000000"/>
          <w:sz w:val="18"/>
          <w:szCs w:val="18"/>
        </w:rPr>
        <w:t>121 ze zm.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DC74C7" w:rsidRDefault="00B453FD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Rozporządzenie Rady Ministrów z 2004r. w sprawie sposobu i trybu przeprowadzania przetargów oraz</w:t>
      </w:r>
    </w:p>
    <w:p w:rsidR="00DC74C7" w:rsidRDefault="00B453FD">
      <w:pPr>
        <w:pStyle w:val="Standard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>rokowań na zbycie nieruchomości (j.t. Dz.U. z 2014 ,p</w:t>
      </w:r>
      <w:r>
        <w:rPr>
          <w:rFonts w:ascii="Arial" w:hAnsi="Arial" w:cs="Arial"/>
          <w:color w:val="000000"/>
          <w:sz w:val="18"/>
          <w:szCs w:val="18"/>
        </w:rPr>
        <w:t>oz.1490 ).</w:t>
      </w:r>
    </w:p>
    <w:p w:rsidR="00DC74C7" w:rsidRDefault="00B453FD">
      <w:pPr>
        <w:pStyle w:val="Standard"/>
        <w:jc w:val="both"/>
      </w:pPr>
      <w:r>
        <w:rPr>
          <w:rFonts w:ascii="Arial" w:hAnsi="Arial" w:cs="Arial"/>
          <w:color w:val="000000"/>
          <w:sz w:val="18"/>
          <w:szCs w:val="18"/>
        </w:rPr>
        <w:t>3. Zwolnienie z opłat na podstawie art.2 ust.1 pkt. 1 lit. h ustawy o opł</w:t>
      </w:r>
      <w:r w:rsidR="00FD460D">
        <w:rPr>
          <w:rFonts w:ascii="Arial" w:hAnsi="Arial" w:cs="Arial"/>
          <w:color w:val="000000"/>
          <w:sz w:val="18"/>
          <w:szCs w:val="18"/>
        </w:rPr>
        <w:t xml:space="preserve">acie skarbowej (j.t. </w:t>
      </w:r>
      <w:proofErr w:type="spellStart"/>
      <w:r w:rsidR="00FD460D">
        <w:rPr>
          <w:rFonts w:ascii="Arial" w:hAnsi="Arial" w:cs="Arial"/>
          <w:color w:val="000000"/>
          <w:sz w:val="18"/>
          <w:szCs w:val="18"/>
        </w:rPr>
        <w:t>Dz.U.z</w:t>
      </w:r>
      <w:proofErr w:type="spellEnd"/>
      <w:r w:rsidR="00FD460D">
        <w:rPr>
          <w:rFonts w:ascii="Arial" w:hAnsi="Arial" w:cs="Arial"/>
          <w:color w:val="000000"/>
          <w:sz w:val="18"/>
          <w:szCs w:val="18"/>
        </w:rPr>
        <w:t xml:space="preserve"> 2016r., poz. 1827 ze zm.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)</w:t>
      </w:r>
    </w:p>
    <w:sectPr w:rsidR="00DC74C7">
      <w:headerReference w:type="default" r:id="rId8"/>
      <w:footerReference w:type="default" r:id="rId9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FD" w:rsidRDefault="00B453FD">
      <w:r>
        <w:separator/>
      </w:r>
    </w:p>
  </w:endnote>
  <w:endnote w:type="continuationSeparator" w:id="0">
    <w:p w:rsidR="00B453FD" w:rsidRDefault="00B4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1C" w:rsidRDefault="00B453FD">
    <w:pPr>
      <w:pStyle w:val="Standard"/>
    </w:pPr>
  </w:p>
  <w:tbl>
    <w:tblPr>
      <w:tblW w:w="9777" w:type="dxa"/>
      <w:tblInd w:w="-12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4536"/>
      <w:gridCol w:w="1589"/>
    </w:tblGrid>
    <w:tr w:rsidR="00FB431C">
      <w:tblPrEx>
        <w:tblCellMar>
          <w:top w:w="0" w:type="dxa"/>
          <w:bottom w:w="0" w:type="dxa"/>
        </w:tblCellMar>
      </w:tblPrEx>
      <w:trPr>
        <w:cantSplit/>
        <w:trHeight w:hRule="exact" w:val="366"/>
      </w:trPr>
      <w:tc>
        <w:tcPr>
          <w:tcW w:w="36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B431C" w:rsidRDefault="00B453FD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Osoba </w:t>
          </w:r>
          <w:r>
            <w:rPr>
              <w:rFonts w:ascii="Arial" w:hAnsi="Arial" w:cs="Arial"/>
              <w:b/>
              <w:sz w:val="16"/>
              <w:szCs w:val="16"/>
            </w:rPr>
            <w:t>odpowiedzialna za aktualizację karty: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B431C" w:rsidRDefault="00B453FD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B431C" w:rsidRDefault="00B453FD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FB431C">
      <w:tblPrEx>
        <w:tblCellMar>
          <w:top w:w="0" w:type="dxa"/>
          <w:bottom w:w="0" w:type="dxa"/>
        </w:tblCellMar>
      </w:tblPrEx>
      <w:trPr>
        <w:cantSplit/>
        <w:trHeight w:hRule="exact" w:val="448"/>
      </w:trPr>
      <w:tc>
        <w:tcPr>
          <w:tcW w:w="36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B431C" w:rsidRDefault="00B453FD"/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B431C" w:rsidRDefault="00B453FD">
          <w:pPr>
            <w:pStyle w:val="Nagwek3"/>
            <w:rPr>
              <w:bCs w:val="0"/>
            </w:rPr>
          </w:pPr>
          <w:r>
            <w:rPr>
              <w:bCs w:val="0"/>
            </w:rPr>
            <w:t>Bogusław Buczyński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B431C" w:rsidRDefault="00FD460D">
          <w:pPr>
            <w:pStyle w:val="Nagwek3"/>
            <w:snapToGrid w:val="0"/>
            <w:jc w:val="center"/>
            <w:rPr>
              <w:b w:val="0"/>
            </w:rPr>
          </w:pPr>
          <w:r>
            <w:rPr>
              <w:b w:val="0"/>
            </w:rPr>
            <w:t>16.05.2018</w:t>
          </w:r>
          <w:r w:rsidR="00B453FD">
            <w:rPr>
              <w:b w:val="0"/>
            </w:rPr>
            <w:t>r.</w:t>
          </w:r>
        </w:p>
      </w:tc>
    </w:tr>
  </w:tbl>
  <w:p w:rsidR="00FB431C" w:rsidRDefault="00B453FD">
    <w:pPr>
      <w:pStyle w:val="Standard"/>
    </w:pPr>
  </w:p>
  <w:p w:rsidR="00FB431C" w:rsidRDefault="00B453FD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FD460D">
      <w:rPr>
        <w:b w:val="0"/>
        <w:i/>
        <w:noProof/>
        <w:sz w:val="16"/>
        <w:szCs w:val="16"/>
      </w:rPr>
      <w:t>2018-05-15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FD" w:rsidRDefault="00B453FD">
      <w:r>
        <w:rPr>
          <w:color w:val="000000"/>
        </w:rPr>
        <w:separator/>
      </w:r>
    </w:p>
  </w:footnote>
  <w:footnote w:type="continuationSeparator" w:id="0">
    <w:p w:rsidR="00B453FD" w:rsidRDefault="00B45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085"/>
      <w:gridCol w:w="2970"/>
    </w:tblGrid>
    <w:tr w:rsidR="00FB431C">
      <w:tblPrEx>
        <w:tblCellMar>
          <w:top w:w="0" w:type="dxa"/>
          <w:bottom w:w="0" w:type="dxa"/>
        </w:tblCellMar>
      </w:tblPrEx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B431C" w:rsidRDefault="00B453FD">
          <w:pPr>
            <w:pStyle w:val="Standard"/>
            <w:jc w:val="center"/>
          </w:pPr>
          <w:r>
            <w:object w:dxaOrig="825" w:dyaOrig="945" w14:anchorId="23572B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7885012" r:id="rId2"/>
            </w:object>
          </w:r>
        </w:p>
        <w:p w:rsidR="00FB431C" w:rsidRDefault="00B453FD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FB431C" w:rsidRDefault="00B453FD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FB431C" w:rsidRDefault="00B453FD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085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B431C" w:rsidRDefault="00B453FD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970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B431C" w:rsidRDefault="00B453FD">
          <w:pPr>
            <w:pStyle w:val="Nagwek"/>
            <w:rPr>
              <w:rFonts w:ascii="Arial" w:hAnsi="Arial" w:cs="Arial"/>
            </w:rPr>
          </w:pPr>
        </w:p>
      </w:tc>
    </w:tr>
    <w:tr w:rsidR="00FB431C">
      <w:tblPrEx>
        <w:tblCellMar>
          <w:top w:w="0" w:type="dxa"/>
          <w:bottom w:w="0" w:type="dxa"/>
        </w:tblCellMar>
      </w:tblPrEx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B431C" w:rsidRDefault="00B453FD"/>
      </w:tc>
      <w:tc>
        <w:tcPr>
          <w:tcW w:w="5085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B431C" w:rsidRDefault="00B453FD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Sprzedaż nieruchomości gruntowych zabudowanych i niezabudowanych oraz lokalowych stanowiących własność Skarbu Państwa lub Powiatu</w:t>
          </w:r>
        </w:p>
      </w:tc>
      <w:tc>
        <w:tcPr>
          <w:tcW w:w="2970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B431C" w:rsidRDefault="00B453FD"/>
      </w:tc>
    </w:tr>
  </w:tbl>
  <w:p w:rsidR="00FB431C" w:rsidRDefault="00B453FD">
    <w:pPr>
      <w:pStyle w:val="Nagwek"/>
    </w:pPr>
  </w:p>
  <w:p w:rsidR="00FB431C" w:rsidRDefault="00B453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41A"/>
    <w:multiLevelType w:val="multilevel"/>
    <w:tmpl w:val="06DC5EFE"/>
    <w:styleLink w:val="WW8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F3C7BEE"/>
    <w:multiLevelType w:val="multilevel"/>
    <w:tmpl w:val="7588486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74C7"/>
    <w:rsid w:val="00B453FD"/>
    <w:rsid w:val="00DC74C7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1z0">
    <w:name w:val="WW8Num1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color w:val="000000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1z0">
    <w:name w:val="WW8Num1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color w:val="000000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1818</Characters>
  <Application>Microsoft Office Word</Application>
  <DocSecurity>0</DocSecurity>
  <Lines>15</Lines>
  <Paragraphs>4</Paragraphs>
  <ScaleCrop>false</ScaleCrop>
  <Company>Starostwo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3</cp:revision>
  <cp:lastPrinted>2013-01-11T14:37:00Z</cp:lastPrinted>
  <dcterms:created xsi:type="dcterms:W3CDTF">2018-05-15T08:24:00Z</dcterms:created>
  <dcterms:modified xsi:type="dcterms:W3CDTF">2018-05-15T08:24:00Z</dcterms:modified>
</cp:coreProperties>
</file>